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skpmh7w7ikic" w:id="0"/>
      <w:bookmarkEnd w:id="0"/>
      <w:r w:rsidDel="00000000" w:rsidR="00000000" w:rsidRPr="00000000">
        <w:rPr>
          <w:rtl w:val="0"/>
        </w:rPr>
        <w:t xml:space="preserve">PURE Festival Submission Rules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All non-English films must have English sub-titles.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You may submit more than one film, but you must complete a separate entry form and pay entry fee for each film.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Video length should be no less than 1 minute and not more than 150 minutes.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To participate with works from 2014, 2015 and 2016 have not previously participated in our festival.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The work on the festival can be sent only through the Internet or through specialized services.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Organizers of the Festival have the right for a non-commercial show of everyone’s films of all programmes with consent of their owners.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If your film is selected to be shown, you must provide the video with a resolution of the file is not less than the FullHD to participate in the festival program.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The copyrights completely belong to film directors (authors, producers) in accordance with international copyright norms.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